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kern w:val="2"/>
          <w:sz w:val="44"/>
          <w:szCs w:val="44"/>
          <w:lang w:val="en-US" w:eastAsia="zh-CN" w:bidi="ar-SA"/>
        </w:rPr>
        <w:t>2026年普法责任清单</w:t>
      </w:r>
    </w:p>
    <w:tbl>
      <w:tblPr>
        <w:tblStyle w:val="9"/>
        <w:tblpPr w:leftFromText="180" w:rightFromText="180" w:vertAnchor="text" w:horzAnchor="page" w:tblpX="1637" w:tblpY="527"/>
        <w:tblOverlap w:val="never"/>
        <w:tblW w:w="87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2506"/>
        <w:gridCol w:w="1207"/>
        <w:gridCol w:w="328"/>
        <w:gridCol w:w="1496"/>
        <w:gridCol w:w="18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393" w:type="dxa"/>
            <w:noWrap w:val="0"/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共性普法任务</w:t>
            </w:r>
          </w:p>
        </w:tc>
        <w:tc>
          <w:tcPr>
            <w:tcW w:w="7366" w:type="dxa"/>
            <w:gridSpan w:val="5"/>
            <w:noWrap w:val="0"/>
            <w:vAlign w:val="top"/>
          </w:tcPr>
          <w:p>
            <w:pPr>
              <w:spacing w:before="274" w:line="221" w:lineRule="auto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30"/>
                <w:szCs w:val="30"/>
              </w:rPr>
              <w:t>学习宣传习近平法治思想，学习宣传宪法、民法典等基本法律法规，学习宣传与促进高质量跨越式发展和社会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30"/>
                <w:szCs w:val="30"/>
                <w:lang w:eastAsia="zh-CN"/>
              </w:rPr>
              <w:t>治理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30"/>
                <w:szCs w:val="30"/>
              </w:rPr>
              <w:t>现代化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30"/>
                <w:szCs w:val="30"/>
                <w:lang w:eastAsia="zh-CN"/>
              </w:rPr>
              <w:t>密切相关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30"/>
                <w:szCs w:val="30"/>
              </w:rPr>
              <w:t>法律法规，学习宣传总体国家安全观和国家安全相关法律，学习宣传党内法规等。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93" w:type="dxa"/>
            <w:vMerge w:val="restart"/>
            <w:noWrap w:val="0"/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个性普法任务</w:t>
            </w:r>
          </w:p>
        </w:tc>
        <w:tc>
          <w:tcPr>
            <w:tcW w:w="5537" w:type="dxa"/>
            <w:gridSpan w:val="4"/>
            <w:noWrap w:val="0"/>
            <w:vAlign w:val="center"/>
          </w:tcPr>
          <w:p>
            <w:pPr>
              <w:spacing w:before="85" w:line="219" w:lineRule="auto"/>
              <w:ind w:left="73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普及法律法规名称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spacing w:before="85" w:line="219" w:lineRule="auto"/>
              <w:ind w:left="73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责任股室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93" w:type="dxa"/>
            <w:vMerge w:val="continue"/>
            <w:noWrap w:val="0"/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537" w:type="dxa"/>
            <w:gridSpan w:val="4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《未成年人保护法》、《治安管理处罚法》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未检、六部、办公室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93" w:type="dxa"/>
            <w:vMerge w:val="continue"/>
            <w:noWrap w:val="0"/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537" w:type="dxa"/>
            <w:gridSpan w:val="4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《中华人民共和国英雄烈士保护法》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四部、六部、办公室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93" w:type="dxa"/>
            <w:vMerge w:val="continue"/>
            <w:noWrap w:val="0"/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537" w:type="dxa"/>
            <w:gridSpan w:val="4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393" w:type="dxa"/>
            <w:vMerge w:val="restart"/>
            <w:noWrap w:val="0"/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重要时间节点普法计划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具体内容</w:t>
            </w: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（包括时间、地点、活动形式）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普法对象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责任股室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完成时限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93" w:type="dxa"/>
            <w:vMerge w:val="continue"/>
            <w:noWrap w:val="0"/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6月1日（儿童节）、检察院办公区、检察开放日活动形式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中小学生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未检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93" w:type="dxa"/>
            <w:vMerge w:val="continue"/>
            <w:noWrap w:val="0"/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9月30日（烈士纪念日）、烈士陵园、扫墓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青年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四部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93" w:type="dxa"/>
            <w:vMerge w:val="continue"/>
            <w:noWrap w:val="0"/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93" w:type="dxa"/>
            <w:vMerge w:val="restart"/>
            <w:noWrap w:val="0"/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本单位普法阵地及载体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平台（阵地）类别</w:t>
            </w:r>
          </w:p>
        </w:tc>
        <w:tc>
          <w:tcPr>
            <w:tcW w:w="3031" w:type="dxa"/>
            <w:gridSpan w:val="3"/>
            <w:shd w:val="clear" w:color="auto" w:fill="auto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名称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93" w:type="dxa"/>
            <w:vMerge w:val="continue"/>
            <w:noWrap w:val="0"/>
            <w:vAlign w:val="center"/>
          </w:tcPr>
          <w:p>
            <w:pPr>
              <w:spacing w:before="85" w:line="219" w:lineRule="auto"/>
              <w:ind w:left="73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线上平台</w:t>
            </w:r>
          </w:p>
        </w:tc>
        <w:tc>
          <w:tcPr>
            <w:tcW w:w="3031" w:type="dxa"/>
            <w:gridSpan w:val="3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微博、微信公众号“正义咸安”；官网；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93" w:type="dxa"/>
            <w:vMerge w:val="continue"/>
            <w:noWrap w:val="0"/>
            <w:vAlign w:val="center"/>
          </w:tcPr>
          <w:p>
            <w:pPr>
              <w:spacing w:before="85" w:line="219" w:lineRule="auto"/>
              <w:ind w:left="73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线下阵地</w:t>
            </w:r>
          </w:p>
        </w:tc>
        <w:tc>
          <w:tcPr>
            <w:tcW w:w="3031" w:type="dxa"/>
            <w:gridSpan w:val="3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咸宁市高新外国语学校法治图书角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93" w:type="dxa"/>
            <w:vMerge w:val="restart"/>
            <w:noWrap w:val="0"/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普法志愿队伍情况</w:t>
            </w:r>
          </w:p>
        </w:tc>
        <w:tc>
          <w:tcPr>
            <w:tcW w:w="5537" w:type="dxa"/>
            <w:gridSpan w:val="4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名称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393" w:type="dxa"/>
            <w:vMerge w:val="continue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5537" w:type="dxa"/>
            <w:gridSpan w:val="4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“桂语润心”法治宣讲队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393" w:type="dxa"/>
            <w:vMerge w:val="restart"/>
            <w:noWrap w:val="0"/>
            <w:vAlign w:val="center"/>
          </w:tcPr>
          <w:p>
            <w:pPr>
              <w:spacing w:before="85" w:line="219" w:lineRule="auto"/>
              <w:ind w:left="7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  <w:t>组织保障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spacing w:before="208" w:line="219" w:lineRule="auto"/>
              <w:ind w:left="9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30"/>
                <w:szCs w:val="30"/>
              </w:rPr>
              <w:t>分管领导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30"/>
                <w:szCs w:val="30"/>
                <w:lang w:eastAsia="zh-CN"/>
              </w:rPr>
              <w:t>王忠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spacing w:before="208" w:line="219" w:lineRule="auto"/>
              <w:ind w:left="9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30"/>
                <w:szCs w:val="30"/>
              </w:rPr>
              <w:t>责任股室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30"/>
                <w:szCs w:val="30"/>
                <w:lang w:eastAsia="zh-CN"/>
              </w:rPr>
              <w:t>六部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393" w:type="dxa"/>
            <w:vMerge w:val="continue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2506" w:type="dxa"/>
            <w:noWrap w:val="0"/>
            <w:vAlign w:val="center"/>
          </w:tcPr>
          <w:p>
            <w:pPr>
              <w:spacing w:before="179" w:line="219" w:lineRule="auto"/>
              <w:ind w:left="9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30"/>
                <w:szCs w:val="30"/>
              </w:rPr>
              <w:t>普法联络员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30"/>
                <w:szCs w:val="30"/>
                <w:lang w:eastAsia="zh-CN"/>
              </w:rPr>
              <w:t>刘慧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spacing w:before="179" w:line="219" w:lineRule="auto"/>
              <w:ind w:left="9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"/>
                <w:sz w:val="30"/>
                <w:szCs w:val="30"/>
              </w:rPr>
              <w:t>联系电话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30"/>
                <w:szCs w:val="30"/>
                <w:lang w:val="en-US" w:eastAsia="zh-CN"/>
              </w:rPr>
              <w:t>15807163287</w:t>
            </w:r>
          </w:p>
        </w:tc>
      </w:tr>
    </w:tbl>
    <w:p>
      <w:pPr>
        <w:spacing w:before="139" w:line="222" w:lineRule="auto"/>
        <w:jc w:val="distribut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单位名称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：（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盖章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3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spacing w:val="13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时间：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2026年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日</w:t>
      </w:r>
    </w:p>
    <w:p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  <w:sectPr>
          <w:headerReference r:id="rId3" w:type="default"/>
          <w:footerReference r:id="rId4" w:type="default"/>
          <w:pgSz w:w="11900" w:h="16830"/>
          <w:pgMar w:top="2098" w:right="1474" w:bottom="1984" w:left="1587" w:header="0" w:footer="1159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kern w:val="2"/>
          <w:sz w:val="44"/>
          <w:szCs w:val="44"/>
          <w:lang w:val="en-US" w:eastAsia="zh-CN" w:bidi="ar-SA"/>
        </w:rPr>
        <w:t>2026年度普法责任清单填报说明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kern w:val="2"/>
          <w:sz w:val="32"/>
          <w:szCs w:val="32"/>
          <w:lang w:val="en-US" w:eastAsia="zh-CN" w:bidi="ar-SA"/>
        </w:rPr>
        <w:t>1.个性普法任务：根据《2026年“一月一主题”普法活动方案》，结合部门工作实际，广泛宣传本部门本单位履行业务职能相关的法律法规，明确责任股室。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kern w:val="2"/>
          <w:sz w:val="32"/>
          <w:szCs w:val="32"/>
          <w:lang w:val="en-US" w:eastAsia="zh-CN" w:bidi="ar-SA"/>
        </w:rPr>
        <w:t>2.重要时间节点普法计划：主要包括开展党组理论学习中心组学法、举办宪法宣誓；对国家工作人员、企事业单位人员等人群开展集体学法；针对涉及本部门本单位的社会热点、难点问题，有针对性地开展专项法治宣传教育；对职能涉及企业、农村、机关、校园、社区、网络等开展普法；参与线上或线下旁听庭审活动；举办以案释法普法宣讲、法律知识讲座、法律知识竞赛、法治文化作品创作、民法典集中宣传月、“12·4”国家宪法日和宪法宣传周集中宣传活动等主题活动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kern w:val="2"/>
          <w:sz w:val="32"/>
          <w:szCs w:val="32"/>
          <w:lang w:val="en-US" w:eastAsia="zh-CN" w:bidi="ar-SA"/>
        </w:rPr>
        <w:t>3.普法对象：包括本系统领导干部和国家工作人员、执法对象、管理对象、服务对象及社会公众等。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kern w:val="2"/>
          <w:sz w:val="32"/>
          <w:szCs w:val="32"/>
          <w:lang w:val="en-US" w:eastAsia="zh-CN" w:bidi="ar-SA"/>
        </w:rPr>
        <w:t>4.普法志愿者队伍建设：组建本部门本单位普法志愿者队伍，明确队伍人员。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kern w:val="2"/>
          <w:sz w:val="32"/>
          <w:szCs w:val="32"/>
          <w:lang w:val="en-US" w:eastAsia="zh-CN" w:bidi="ar-SA"/>
        </w:rPr>
        <w:t>5.普法阵地及载体建设：指本部门本单位在门户网站、微信、微博、抖音或利用机关橱窗、宣传栏、电子显示屏开设法治宣传专区专栏的情况。</w:t>
      </w:r>
    </w:p>
    <w:tbl>
      <w:tblPr>
        <w:tblStyle w:val="9"/>
        <w:tblpPr w:leftFromText="180" w:rightFromText="180" w:vertAnchor="text" w:horzAnchor="page" w:tblpX="1597" w:tblpY="1170"/>
        <w:tblOverlap w:val="never"/>
        <w:tblW w:w="9024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1"/>
        <w:gridCol w:w="446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56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16" w:lineRule="auto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4"/>
                <w:kern w:val="0"/>
                <w:sz w:val="28"/>
                <w:szCs w:val="28"/>
                <w:lang w:eastAsia="zh-CN"/>
              </w:rPr>
              <w:t>中共咸安区委全面依法治区委员会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34"/>
                <w:kern w:val="0"/>
                <w:sz w:val="28"/>
                <w:szCs w:val="28"/>
                <w:lang w:eastAsia="en-US"/>
              </w:rPr>
              <w:t>办公室</w:t>
            </w:r>
          </w:p>
        </w:tc>
        <w:tc>
          <w:tcPr>
            <w:tcW w:w="446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17" w:lineRule="auto"/>
              <w:ind w:firstLine="2214" w:firstLineChars="90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7"/>
                <w:kern w:val="0"/>
                <w:sz w:val="28"/>
                <w:szCs w:val="28"/>
                <w:lang w:eastAsia="zh-CN"/>
              </w:rPr>
              <w:t>2026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7"/>
                <w:kern w:val="0"/>
                <w:sz w:val="28"/>
                <w:szCs w:val="28"/>
                <w:lang w:eastAsia="en-US"/>
              </w:rPr>
              <w:t>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7"/>
                <w:kern w:val="0"/>
                <w:sz w:val="28"/>
                <w:szCs w:val="28"/>
                <w:lang w:eastAsia="en-US"/>
              </w:rPr>
              <w:t>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7"/>
                <w:kern w:val="0"/>
                <w:sz w:val="28"/>
                <w:szCs w:val="28"/>
                <w:lang w:eastAsia="en-US"/>
              </w:rPr>
              <w:t>日印发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kern w:val="2"/>
          <w:sz w:val="32"/>
          <w:szCs w:val="32"/>
          <w:lang w:val="en-US" w:eastAsia="zh-CN" w:bidi="ar-SA"/>
        </w:rPr>
        <w:t>6.组织保障：明确普法工作分管领导、责任股室、联络员、联系电话。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D15B8"/>
    <w:rsid w:val="00E40F4B"/>
    <w:rsid w:val="00EC00DA"/>
    <w:rsid w:val="069F4193"/>
    <w:rsid w:val="06B74FBC"/>
    <w:rsid w:val="06F9013B"/>
    <w:rsid w:val="09102B5A"/>
    <w:rsid w:val="09500CD4"/>
    <w:rsid w:val="0C1C13D3"/>
    <w:rsid w:val="0E465568"/>
    <w:rsid w:val="12996D5F"/>
    <w:rsid w:val="13DD3125"/>
    <w:rsid w:val="13F30713"/>
    <w:rsid w:val="148443FC"/>
    <w:rsid w:val="17E75E45"/>
    <w:rsid w:val="18243F2C"/>
    <w:rsid w:val="1F6F5655"/>
    <w:rsid w:val="20015461"/>
    <w:rsid w:val="24917051"/>
    <w:rsid w:val="2AE44049"/>
    <w:rsid w:val="2BF31926"/>
    <w:rsid w:val="2F8935C2"/>
    <w:rsid w:val="2FF5237E"/>
    <w:rsid w:val="317A79B9"/>
    <w:rsid w:val="31EF32D3"/>
    <w:rsid w:val="32402C38"/>
    <w:rsid w:val="34801125"/>
    <w:rsid w:val="356E3AF8"/>
    <w:rsid w:val="35D93407"/>
    <w:rsid w:val="39E3695F"/>
    <w:rsid w:val="3A0600AD"/>
    <w:rsid w:val="3A1B5452"/>
    <w:rsid w:val="3C7424C0"/>
    <w:rsid w:val="3CE55E8A"/>
    <w:rsid w:val="3CE60F00"/>
    <w:rsid w:val="3E2C6DE7"/>
    <w:rsid w:val="3E5C04C3"/>
    <w:rsid w:val="3EF93054"/>
    <w:rsid w:val="3FD54233"/>
    <w:rsid w:val="421B789E"/>
    <w:rsid w:val="42754788"/>
    <w:rsid w:val="433E55F2"/>
    <w:rsid w:val="46D83912"/>
    <w:rsid w:val="47170634"/>
    <w:rsid w:val="4934406E"/>
    <w:rsid w:val="4F911345"/>
    <w:rsid w:val="4FF70CEB"/>
    <w:rsid w:val="515B626E"/>
    <w:rsid w:val="54F544AB"/>
    <w:rsid w:val="57A02E64"/>
    <w:rsid w:val="5B8C352B"/>
    <w:rsid w:val="5F2D15B8"/>
    <w:rsid w:val="5F2D23C7"/>
    <w:rsid w:val="60F35816"/>
    <w:rsid w:val="633D15F3"/>
    <w:rsid w:val="69174B76"/>
    <w:rsid w:val="6A611F74"/>
    <w:rsid w:val="6C992049"/>
    <w:rsid w:val="6CBE0678"/>
    <w:rsid w:val="6FE078AE"/>
    <w:rsid w:val="705E626E"/>
    <w:rsid w:val="746740F9"/>
    <w:rsid w:val="76037E52"/>
    <w:rsid w:val="7B8D5C55"/>
    <w:rsid w:val="7DB6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9eeec209-2f8d-41ad-a6eb-7b14d0e092b2</errorID>
      <errorWord xmlns="http://schemas.wps.cn/vas-ai-hub/contract-review">。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5EC1C860</paraID>
      <start xmlns="http://schemas.wps.cn/vas-ai-hub/contract-review">84</start>
      <end xmlns="http://schemas.wps.cn/vas-ai-hub/contract-review">85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259e36c0-6c5f-4659-969f-ef41892d2fee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的</item>
      </candidateList>
      <explain xmlns="http://schemas.wps.cn/vas-ai-hub/contract-review"/>
      <paraID xmlns="http://schemas.wps.cn/vas-ai-hub/contract-review">5BCAD7A4</paraID>
      <start xmlns="http://schemas.wps.cn/vas-ai-hub/contract-review">84</start>
      <end xmlns="http://schemas.wps.cn/vas-ai-hub/contract-review">85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4dfe0f3f-ef74-4b66-a848-ce53c3a06efc</errorID>
      <errorWord xmlns="http://schemas.wps.cn/vas-ai-hub/contract-review">【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（</item>
      </candidateList>
      <explain xmlns="http://schemas.wps.cn/vas-ai-hub/contract-review"/>
      <paraID xmlns="http://schemas.wps.cn/vas-ai-hub/contract-review"> 668306E</paraID>
      <start xmlns="http://schemas.wps.cn/vas-ai-hub/contract-review">33</start>
      <end xmlns="http://schemas.wps.cn/vas-ai-hub/contract-review">34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921644e8-5757-4729-8c28-67825fb1fd27</errorID>
      <errorWord xmlns="http://schemas.wps.cn/vas-ai-hub/contract-review">单位须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单位</item>
      </candidateList>
      <explain xmlns="http://schemas.wps.cn/vas-ai-hub/contract-review"/>
      <paraID xmlns="http://schemas.wps.cn/vas-ai-hub/contract-review">7D72B217</paraID>
      <start xmlns="http://schemas.wps.cn/vas-ai-hub/contract-review">23</start>
      <end xmlns="http://schemas.wps.cn/vas-ai-hub/contract-review">25</end>
      <status xmlns="http://schemas.wps.cn/vas-ai-hub/contract-review">modified</status>
      <modifiedWord xmlns="http://schemas.wps.cn/vas-ai-hub/contract-review">单位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43a2b959-1c55-48b9-abe8-7e97f74d7576</errorID>
      <errorWord xmlns="http://schemas.wps.cn/vas-ai-hub/contract-review">（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（党</item>
      </candidateList>
      <explain xmlns="http://schemas.wps.cn/vas-ai-hub/contract-review"/>
      <paraID xmlns="http://schemas.wps.cn/vas-ai-hub/contract-review">7D72B217</paraID>
      <start xmlns="http://schemas.wps.cn/vas-ai-hub/contract-review">40</start>
      <end xmlns="http://schemas.wps.cn/vas-ai-hub/contract-review">41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2249b337-99b9-41b4-b43f-e60059303969</errorID>
      <errorWord xmlns="http://schemas.wps.cn/vas-ai-hub/contract-review">促进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推动</item>
      </candidateList>
      <explain xmlns="http://schemas.wps.cn/vas-ai-hub/contract-review"/>
      <paraID xmlns="http://schemas.wps.cn/vas-ai-hub/contract-review">78CA9687</paraID>
      <start xmlns="http://schemas.wps.cn/vas-ai-hub/contract-review">35</start>
      <end xmlns="http://schemas.wps.cn/vas-ai-hub/contract-review">37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52285428-cb44-48d3-b72e-37abb29592c5</errorID>
      <errorWord xmlns="http://schemas.wps.cn/vas-ai-hub/contract-review">单位是否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单位</item>
      </candidateList>
      <explain xmlns="http://schemas.wps.cn/vas-ai-hub/contract-review"/>
      <paraID xmlns="http://schemas.wps.cn/vas-ai-hub/contract-review">60744E7A</paraID>
      <start xmlns="http://schemas.wps.cn/vas-ai-hub/contract-review">17</start>
      <end xmlns="http://schemas.wps.cn/vas-ai-hub/contract-review">19</end>
      <status xmlns="http://schemas.wps.cn/vas-ai-hub/contract-review">modified</status>
      <modifiedWord xmlns="http://schemas.wps.cn/vas-ai-hub/contract-review">单位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e44a232c-5062-4f96-9481-9df2feffc28f</errorID>
      <errorWord xmlns="http://schemas.wps.cn/vas-ai-hub/contract-review">情况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的情况</item>
      </candidateList>
      <explain xmlns="http://schemas.wps.cn/vas-ai-hub/contract-review"/>
      <paraID xmlns="http://schemas.wps.cn/vas-ai-hub/contract-review">60744E7A</paraID>
      <start xmlns="http://schemas.wps.cn/vas-ai-hub/contract-review">60</start>
      <end xmlns="http://schemas.wps.cn/vas-ai-hub/contract-review">63</end>
      <status xmlns="http://schemas.wps.cn/vas-ai-hub/contract-review">modified</status>
      <modifiedWord xmlns="http://schemas.wps.cn/vas-ai-hub/contract-review">的情况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fe670d-8633-473c-9376-c38ffaf586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2178</Words>
  <Characters>2243</Characters>
  <Lines>0</Lines>
  <Paragraphs>0</Paragraphs>
  <TotalTime>24</TotalTime>
  <ScaleCrop>false</ScaleCrop>
  <LinksUpToDate>false</LinksUpToDate>
  <CharactersWithSpaces>2256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2025-04-10T10:46:00Z</dcterms:created>
  <dc:creator>创先争优</dc:creator>
  <cp:lastModifiedBy>Huawei</cp:lastModifiedBy>
  <cp:lastPrinted>2025-04-16T10:06:00Z</cp:lastPrinted>
  <dcterms:modified xsi:type="dcterms:W3CDTF">2026-03-31T11:06:03Z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A21E87EB012AA8831B3ACB69907EA54B_43</vt:lpwstr>
  </property>
  <property fmtid="{D5CDD505-2E9C-101B-9397-08002B2CF9AE}" pid="4" name="KSOTemplateDocerSaveRecord">
    <vt:lpwstr>eyJoZGlkIjoiNDYxM2RiMDc1YzAwODE5NGUxYjg0ZTkzNjlkMWM4Y2YiLCJ1c2VySWQiOiI0Mzg2MjIyNTQifQ==</vt:lpwstr>
  </property>
</Properties>
</file>